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0" w:lineRule="atLeast"/>
        <w:jc w:val="left"/>
        <w:rPr>
          <w:rFonts w:ascii="宋体" w:hAnsi="宋体" w:cs="宋体"/>
          <w:b/>
          <w:bCs/>
          <w:color w:val="000000"/>
          <w:kern w:val="0"/>
          <w:sz w:val="30"/>
          <w:szCs w:val="30"/>
        </w:rPr>
      </w:pPr>
      <w:bookmarkStart w:id="5" w:name="_GoBack"/>
      <w:bookmarkEnd w:id="5"/>
      <w:r>
        <w:rPr>
          <w:rFonts w:hint="eastAsia" w:ascii="宋体" w:hAnsi="宋体" w:cs="宋体"/>
          <w:b/>
          <w:bCs/>
          <w:color w:val="000000"/>
          <w:kern w:val="0"/>
          <w:sz w:val="30"/>
          <w:szCs w:val="30"/>
        </w:rPr>
        <w:t>附件1：</w:t>
      </w:r>
    </w:p>
    <w:p>
      <w:pPr>
        <w:spacing w:line="0" w:lineRule="atLeast"/>
        <w:rPr>
          <w:rFonts w:ascii="宋体" w:hAnsi="宋体" w:cs="宋体"/>
          <w:b/>
          <w:bCs/>
          <w:color w:val="000000"/>
          <w:kern w:val="0"/>
          <w:sz w:val="13"/>
          <w:szCs w:val="13"/>
        </w:rPr>
      </w:pPr>
    </w:p>
    <w:p>
      <w:pPr>
        <w:spacing w:line="0" w:lineRule="atLeast"/>
        <w:jc w:val="center"/>
        <w:rPr>
          <w:rFonts w:ascii="宋体" w:hAnsi="宋体" w:cs="宋体"/>
          <w:b/>
          <w:bCs/>
          <w:color w:val="000000"/>
          <w:kern w:val="0"/>
          <w:sz w:val="30"/>
          <w:szCs w:val="30"/>
        </w:rPr>
      </w:pPr>
      <w:r>
        <w:rPr>
          <w:rFonts w:hint="eastAsia" w:ascii="宋体" w:hAnsi="宋体" w:cs="宋体"/>
          <w:b/>
          <w:bCs/>
          <w:color w:val="000000"/>
          <w:kern w:val="0"/>
          <w:sz w:val="30"/>
          <w:szCs w:val="30"/>
        </w:rPr>
        <w:t>202</w:t>
      </w:r>
      <w:r>
        <w:rPr>
          <w:rFonts w:hint="eastAsia" w:ascii="宋体" w:hAnsi="宋体" w:cs="宋体"/>
          <w:b/>
          <w:bCs/>
          <w:color w:val="000000"/>
          <w:kern w:val="0"/>
          <w:sz w:val="30"/>
          <w:szCs w:val="30"/>
          <w:lang w:val="en-US" w:eastAsia="zh-CN"/>
        </w:rPr>
        <w:t>3</w:t>
      </w:r>
      <w:r>
        <w:rPr>
          <w:rFonts w:hint="eastAsia" w:ascii="宋体" w:hAnsi="宋体" w:cs="宋体"/>
          <w:b/>
          <w:bCs/>
          <w:color w:val="000000"/>
          <w:kern w:val="0"/>
          <w:sz w:val="30"/>
          <w:szCs w:val="30"/>
        </w:rPr>
        <w:t>年秦皇岛市第一医院体检中心全国劳模体检项目</w:t>
      </w:r>
    </w:p>
    <w:tbl>
      <w:tblPr>
        <w:tblStyle w:val="10"/>
        <w:tblpPr w:leftFromText="180" w:rightFromText="180" w:vertAnchor="text" w:horzAnchor="page" w:tblpX="1035" w:tblpY="288"/>
        <w:tblOverlap w:val="never"/>
        <w:tblW w:w="10647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132"/>
        <w:gridCol w:w="3587"/>
        <w:gridCol w:w="4536"/>
        <w:gridCol w:w="709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6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1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项目分类</w:t>
            </w:r>
          </w:p>
        </w:tc>
        <w:tc>
          <w:tcPr>
            <w:tcW w:w="3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检查内容</w:t>
            </w:r>
          </w:p>
        </w:tc>
        <w:tc>
          <w:tcPr>
            <w:tcW w:w="4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检查意义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单价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68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一般项目</w:t>
            </w:r>
          </w:p>
        </w:tc>
        <w:tc>
          <w:tcPr>
            <w:tcW w:w="3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血压、身高、体重、内科、外科、测视力、耳鼻喉科</w:t>
            </w:r>
          </w:p>
        </w:tc>
        <w:tc>
          <w:tcPr>
            <w:tcW w:w="45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健康管理必检项目</w:t>
            </w:r>
          </w:p>
        </w:tc>
        <w:tc>
          <w:tcPr>
            <w:tcW w:w="7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68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13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眼科检查</w:t>
            </w:r>
          </w:p>
        </w:tc>
        <w:tc>
          <w:tcPr>
            <w:tcW w:w="358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眼科检查（含眼底、眼压、裂隙灯）</w:t>
            </w:r>
          </w:p>
        </w:tc>
        <w:tc>
          <w:tcPr>
            <w:tcW w:w="4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早期眼部疾病的筛查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79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68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血糖血脂5项</w:t>
            </w:r>
          </w:p>
        </w:tc>
        <w:tc>
          <w:tcPr>
            <w:tcW w:w="3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血糖(GLU)、甘油三酯(TG)、低密度脂蛋白(LDL-C)、总胆固醇(CHOL)、高密度脂蛋白(HDL-C)</w:t>
            </w:r>
          </w:p>
        </w:tc>
        <w:tc>
          <w:tcPr>
            <w:tcW w:w="4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监测血糖、血脂情况，可提早提示糖尿病、心脑血管疾病等相关疾病。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40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68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肝功能</w:t>
            </w:r>
          </w:p>
        </w:tc>
        <w:tc>
          <w:tcPr>
            <w:tcW w:w="3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丙氨酸氨基转移酶(ALT)、天冬氨酸氨基转移酶(AST)、γ-谷氨酰转肽酶(GGT)</w:t>
            </w:r>
          </w:p>
        </w:tc>
        <w:tc>
          <w:tcPr>
            <w:tcW w:w="4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监测肝脏代谢情况，及其他不同因素对肝脏的影响。可提示各种肝胆疾病、胰腺疾病、阻塞性黄疸、长期接受某些药物引起的疾病。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68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肾功能</w:t>
            </w:r>
          </w:p>
        </w:tc>
        <w:tc>
          <w:tcPr>
            <w:tcW w:w="3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尿素(Urea)、肌酐(Cr)、尿酸(UA)</w:t>
            </w:r>
          </w:p>
        </w:tc>
        <w:tc>
          <w:tcPr>
            <w:tcW w:w="4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提示肾脏代谢的异常情况（如肾炎，肾衰，尿路结石，痛风等肾脏相关疾病）。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68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6</w:t>
            </w:r>
          </w:p>
        </w:tc>
        <w:tc>
          <w:tcPr>
            <w:tcW w:w="1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血分析</w:t>
            </w:r>
          </w:p>
        </w:tc>
        <w:tc>
          <w:tcPr>
            <w:tcW w:w="3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红细胞计数(RBC)、血红蛋白(HGB)、红细胞压积百分数(HCT%)、白细胞计数(WBC)、白细胞五项分类  、血小板计数(PLT)等</w:t>
            </w:r>
          </w:p>
        </w:tc>
        <w:tc>
          <w:tcPr>
            <w:tcW w:w="4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对全血细胞的分析计数，可提示炎症、病毒感染情况、贫血、血小板异常、血液病等。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68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7</w:t>
            </w:r>
          </w:p>
        </w:tc>
        <w:tc>
          <w:tcPr>
            <w:tcW w:w="1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同型半胱胺酸</w:t>
            </w:r>
          </w:p>
        </w:tc>
        <w:tc>
          <w:tcPr>
            <w:tcW w:w="3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同型半胱胺酸（tHcY）</w:t>
            </w:r>
          </w:p>
        </w:tc>
        <w:tc>
          <w:tcPr>
            <w:tcW w:w="4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心血管风险指标，尤其是冠状动脉粥硬化和心肌梗塞的危险指标，它的浓度升高程度与疾病的危险性成正比。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65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68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8</w:t>
            </w:r>
          </w:p>
        </w:tc>
        <w:tc>
          <w:tcPr>
            <w:tcW w:w="1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肿瘤三项（团检）</w:t>
            </w:r>
          </w:p>
        </w:tc>
        <w:tc>
          <w:tcPr>
            <w:tcW w:w="3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甲胎蛋白(AFP)、癌胚抗原(CEA)、糖类抗原72-4(CA72-4)</w:t>
            </w:r>
          </w:p>
        </w:tc>
        <w:tc>
          <w:tcPr>
            <w:tcW w:w="4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主要针对消化道病疾病的检测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152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atLeast"/>
        </w:trPr>
        <w:tc>
          <w:tcPr>
            <w:tcW w:w="68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9</w:t>
            </w:r>
          </w:p>
        </w:tc>
        <w:tc>
          <w:tcPr>
            <w:tcW w:w="1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尿分析</w:t>
            </w:r>
          </w:p>
        </w:tc>
        <w:tc>
          <w:tcPr>
            <w:tcW w:w="3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镜检、酸碱度（PH）、葡萄糖(GLU)、尿比重(SG)、蛋白质(PRO)酮体(KET)、白细胞(LEU)、潜血(BLD)、尿微量白蛋白测定(U-MA)等</w:t>
            </w:r>
          </w:p>
        </w:tc>
        <w:tc>
          <w:tcPr>
            <w:tcW w:w="4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了解机体酸碱度平衡、电解质平衡情况、可提示肾脏疾病、糖尿病、黄疸性疾病及尿路感染等。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6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113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vAlign w:val="bottom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低剂量肺CT平扫</w:t>
            </w:r>
          </w:p>
        </w:tc>
        <w:tc>
          <w:tcPr>
            <w:tcW w:w="358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肺癌早期诊断的“金标准”</w:t>
            </w:r>
          </w:p>
        </w:tc>
        <w:tc>
          <w:tcPr>
            <w:tcW w:w="4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GE16排低剂量肺部CT扫描速度快，诚像清晰度强，辐射剂量低。充分满足条件及临床对肺部低剂量薄层扫描的需求</w:t>
            </w:r>
          </w:p>
        </w:tc>
        <w:tc>
          <w:tcPr>
            <w:tcW w:w="70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308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FF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FF0000"/>
                <w:kern w:val="0"/>
                <w:szCs w:val="21"/>
              </w:rPr>
              <w:t>（云胶片）</w:t>
            </w:r>
          </w:p>
        </w:tc>
        <w:tc>
          <w:tcPr>
            <w:tcW w:w="358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4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70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68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113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心电图</w:t>
            </w:r>
          </w:p>
        </w:tc>
        <w:tc>
          <w:tcPr>
            <w:tcW w:w="3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多导联心电图</w:t>
            </w:r>
          </w:p>
        </w:tc>
        <w:tc>
          <w:tcPr>
            <w:tcW w:w="4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有无心肌缺血、心律失常、心肌肥大、心梗、心肌炎、传导阻滞等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</w:trPr>
        <w:tc>
          <w:tcPr>
            <w:tcW w:w="68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1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腹部彩超</w:t>
            </w:r>
          </w:p>
        </w:tc>
        <w:tc>
          <w:tcPr>
            <w:tcW w:w="3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肝胆胰脾双肾</w:t>
            </w:r>
          </w:p>
        </w:tc>
        <w:tc>
          <w:tcPr>
            <w:tcW w:w="4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诊断肝、胆、胰、脾及肾的相关病变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115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68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1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甲状腺彩超</w:t>
            </w:r>
          </w:p>
        </w:tc>
        <w:tc>
          <w:tcPr>
            <w:tcW w:w="3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甲状腺结构</w:t>
            </w:r>
          </w:p>
        </w:tc>
        <w:tc>
          <w:tcPr>
            <w:tcW w:w="4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诊断甲状腺弥漫性病变，结节性病变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60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68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1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颈动脉彩超</w:t>
            </w:r>
          </w:p>
        </w:tc>
        <w:tc>
          <w:tcPr>
            <w:tcW w:w="3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双侧颈动脉是否有斑块</w:t>
            </w:r>
          </w:p>
        </w:tc>
        <w:tc>
          <w:tcPr>
            <w:tcW w:w="4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诊断有无动脉粥样硬化斑块及狭窄、肌纤维发育不良、颈动脉体瘤，颈动脉夹层等疾病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150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68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1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心脏彩超+心功能</w:t>
            </w:r>
          </w:p>
        </w:tc>
        <w:tc>
          <w:tcPr>
            <w:tcW w:w="3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心脏功能血流及结构</w:t>
            </w:r>
          </w:p>
        </w:tc>
        <w:tc>
          <w:tcPr>
            <w:tcW w:w="4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观察心脏形态结构是否有异常，诊断有无先心病、风心病、心肌病、冠心病、心包积液等及心功能测定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295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68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1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前列腺彩超</w:t>
            </w:r>
          </w:p>
        </w:tc>
        <w:tc>
          <w:tcPr>
            <w:tcW w:w="3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前列腺彩超</w:t>
            </w:r>
          </w:p>
        </w:tc>
        <w:tc>
          <w:tcPr>
            <w:tcW w:w="4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诊断前列腺增生、钙化、肿瘤、囊肿、结石等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</w:trPr>
        <w:tc>
          <w:tcPr>
            <w:tcW w:w="68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17</w:t>
            </w:r>
          </w:p>
        </w:tc>
        <w:tc>
          <w:tcPr>
            <w:tcW w:w="1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C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  <w:vertAlign w:val="superscript"/>
              </w:rPr>
              <w:t>13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呼气试验</w:t>
            </w:r>
          </w:p>
        </w:tc>
        <w:tc>
          <w:tcPr>
            <w:tcW w:w="3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幽门螺旋杆菌“金标准”</w:t>
            </w:r>
          </w:p>
        </w:tc>
        <w:tc>
          <w:tcPr>
            <w:tcW w:w="4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是否存在幽门螺旋杆菌感染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180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6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471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图文报告、健康档案</w:t>
            </w:r>
          </w:p>
        </w:tc>
        <w:tc>
          <w:tcPr>
            <w:tcW w:w="453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993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right"/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总计：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1690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993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righ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折后：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1500</w:t>
            </w:r>
          </w:p>
        </w:tc>
      </w:tr>
    </w:tbl>
    <w:p>
      <w:pPr>
        <w:spacing w:line="0" w:lineRule="atLeast"/>
        <w:jc w:val="left"/>
        <w:rPr>
          <w:rFonts w:ascii="仿宋" w:hAnsi="仿宋" w:eastAsia="仿宋" w:cs="宋体"/>
          <w:bCs/>
          <w:kern w:val="0"/>
          <w:sz w:val="28"/>
          <w:szCs w:val="28"/>
        </w:rPr>
      </w:pPr>
    </w:p>
    <w:tbl>
      <w:tblPr>
        <w:tblStyle w:val="10"/>
        <w:tblpPr w:leftFromText="180" w:rightFromText="180" w:vertAnchor="page" w:horzAnchor="margin" w:tblpXSpec="center" w:tblpY="1036"/>
        <w:tblW w:w="932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"/>
        <w:gridCol w:w="1417"/>
        <w:gridCol w:w="3119"/>
        <w:gridCol w:w="2835"/>
        <w:gridCol w:w="992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</w:trPr>
        <w:tc>
          <w:tcPr>
            <w:tcW w:w="9322" w:type="dxa"/>
            <w:gridSpan w:val="5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32"/>
                <w:szCs w:val="32"/>
              </w:rPr>
              <w:t>附件2：</w:t>
            </w:r>
          </w:p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32"/>
                <w:szCs w:val="32"/>
              </w:rPr>
              <w:t>202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32"/>
                <w:szCs w:val="32"/>
                <w:lang w:val="en-US" w:eastAsia="zh-CN"/>
              </w:rPr>
              <w:t>3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32"/>
                <w:szCs w:val="32"/>
              </w:rPr>
              <w:t>年秦皇岛市第一医院体检中心省劳模体检项目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  <w:t>序号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  <w:t>项目分类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  <w:t>检查内容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检查意义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  <w:t>单价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5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一般项目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血压、身高、体重、内科、外科、测视力、耳鼻喉科</w:t>
            </w:r>
          </w:p>
        </w:tc>
        <w:tc>
          <w:tcPr>
            <w:tcW w:w="283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健康管理必检项目</w:t>
            </w:r>
          </w:p>
        </w:tc>
        <w:tc>
          <w:tcPr>
            <w:tcW w:w="99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血糖血脂5项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血糖(GLU)、甘油三酯(TG)、低密度脂蛋白(LDL-C)、总胆固醇(CHOL)、高密度脂蛋白(HDL-C)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监测血糖、血脂情况，可提早提示糖尿病、心脑血管疾病等相关疾病。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40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3" w:hRule="atLeast"/>
        </w:trPr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肝功能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丙氨酸氨基转移酶(ALT)、天冬氨酸氨基转移酶(AST)、γ-谷氨酰转肽酶(GGT)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监测肝脏代谢情况，及其他不同因素对肝脏的影响。可提示各种肝胆疾病、胰腺疾病、阻塞性黄疸、长期接受某些药物引起的疾病。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6" w:hRule="atLeast"/>
        </w:trPr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肾功能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尿素(Urea)、肌酐(Cr)、尿酸(UA)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提示肾脏代谢的异常情况（如肾炎，肾衰，尿路结石，痛风等肾脏相关疾病）。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4" w:hRule="atLeast"/>
        </w:trPr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血分析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红细胞计数(RBC)、血红蛋白(HGB)、红细胞压积百分数(HCT%)、白细胞计数(WBC)、白细胞五项分类  、血小板计数(PLT)等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对全血细胞的分析计数，可提示炎症、病毒感染情况、贫血、血小板异常、血液病等。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2" w:hRule="atLeast"/>
        </w:trPr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尿分析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镜检、酸碱度（PH）、葡萄糖(GLU)、尿比重(SG)、蛋白质(PRO)酮体(KET)、白细胞(LEU)、潜血(BLD)、尿微量白蛋白测定(U-MA)等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了解机体酸碱度平衡、电解质平衡情况、可提示肾脏疾病、糖尿病、黄疸性疾病及尿路感染等。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95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vAlign w:val="bottom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低剂量肺CT平扫</w:t>
            </w:r>
          </w:p>
        </w:tc>
        <w:tc>
          <w:tcPr>
            <w:tcW w:w="311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肺癌早期诊断的“金标准”</w:t>
            </w:r>
          </w:p>
        </w:tc>
        <w:tc>
          <w:tcPr>
            <w:tcW w:w="283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GE16排低剂量肺部CT扫描速度快，诚像清晰度强，辐射剂量低。充分满足条件及临床对肺部低剂量薄层扫描的需求</w:t>
            </w:r>
          </w:p>
        </w:tc>
        <w:tc>
          <w:tcPr>
            <w:tcW w:w="99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308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9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widowControl/>
              <w:jc w:val="center"/>
              <w:rPr>
                <w:rFonts w:ascii="仿宋" w:hAnsi="仿宋" w:eastAsia="仿宋" w:cs="宋体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FF0000"/>
                <w:kern w:val="0"/>
                <w:sz w:val="24"/>
                <w:szCs w:val="24"/>
              </w:rPr>
              <w:t>（云胶片）</w:t>
            </w:r>
          </w:p>
        </w:tc>
        <w:tc>
          <w:tcPr>
            <w:tcW w:w="311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8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7" w:hRule="atLeast"/>
        </w:trPr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心电图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多导联心电图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有无心肌缺血、心律失常、心肌肥大、心梗、心肌炎、传导阻滞等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腹部彩超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肝胆胰脾双肾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诊断肝、胆、胰、脾及肾的相关病变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115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45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图文报告、健康档案</w:t>
            </w:r>
          </w:p>
        </w:tc>
        <w:tc>
          <w:tcPr>
            <w:tcW w:w="2835" w:type="dxa"/>
            <w:tcBorders>
              <w:top w:val="single" w:color="000000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33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总计：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609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</w:trPr>
        <w:tc>
          <w:tcPr>
            <w:tcW w:w="833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折后：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500</w:t>
            </w:r>
          </w:p>
        </w:tc>
      </w:tr>
    </w:tbl>
    <w:p>
      <w:pPr>
        <w:spacing w:line="0" w:lineRule="atLeast"/>
        <w:jc w:val="left"/>
        <w:rPr>
          <w:rFonts w:ascii="Arial"/>
          <w:color w:val="FF0000"/>
          <w:sz w:val="2"/>
        </w:rPr>
      </w:pPr>
      <w:r>
        <w:rPr>
          <w:rFonts w:ascii="仿宋" w:hAnsi="仿宋" w:eastAsia="仿宋" w:cs="宋体"/>
          <w:bCs/>
          <w:kern w:val="0"/>
          <w:sz w:val="28"/>
          <w:szCs w:val="28"/>
        </w:rPr>
        <w:br w:type="page"/>
      </w:r>
      <w:r>
        <w:pict>
          <v:shape id="_x0000_s1031" o:spid="_x0000_s1031" o:spt="75" type="#_x0000_t75" style="position:absolute;left:0pt;margin-left:0.2pt;margin-top:0.4pt;height:841.2pt;width:594.6pt;mso-position-horizontal-relative:page;mso-position-vertical-relative:page;z-index:-251657216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anchorlock/>
          </v:shape>
        </w:pict>
      </w:r>
      <w:bookmarkStart w:id="0" w:name="br1"/>
      <w:bookmarkEnd w:id="0"/>
      <w:r>
        <w:rPr>
          <w:rFonts w:ascii="Arial"/>
          <w:color w:val="FF0000"/>
          <w:sz w:val="2"/>
        </w:rPr>
        <w:cr/>
      </w:r>
    </w:p>
    <w:p>
      <w:pPr>
        <w:spacing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>
      <w:pPr>
        <w:spacing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pict>
          <v:shape id="_x0000_s1032" o:spid="_x0000_s1032" o:spt="75" type="#_x0000_t75" style="position:absolute;left:0pt;margin-left:0.2pt;margin-top:0.4pt;height:841.2pt;width:594.6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anchorlock/>
          </v:shape>
        </w:pict>
      </w:r>
      <w:r>
        <w:rPr>
          <w:rFonts w:ascii="Arial"/>
          <w:color w:val="FF0000"/>
          <w:sz w:val="2"/>
        </w:rPr>
        <w:cr/>
      </w:r>
    </w:p>
    <w:p>
      <w:pPr>
        <w:spacing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>
      <w:pPr>
        <w:spacing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pict>
          <v:shape id="_x0000_s1033" o:spid="_x0000_s1033" o:spt="75" type="#_x0000_t75" style="position:absolute;left:0pt;margin-left:0.2pt;margin-top:0.4pt;height:841.2pt;width:594.6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anchorlock/>
          </v:shape>
        </w:pict>
      </w:r>
      <w:r>
        <w:rPr>
          <w:rFonts w:ascii="Arial"/>
          <w:color w:val="FF0000"/>
          <w:sz w:val="2"/>
        </w:rPr>
        <w:cr/>
      </w:r>
    </w:p>
    <w:p>
      <w:pPr>
        <w:spacing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>
      <w:pPr>
        <w:spacing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pict>
          <v:shape id="_x0000_s1034" o:spid="_x0000_s1034" o:spt="75" type="#_x0000_t75" style="position:absolute;left:0pt;margin-left:0.2pt;margin-top:0.4pt;height:841.2pt;width:594.6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anchorlock/>
          </v:shape>
        </w:pict>
      </w:r>
      <w:r>
        <w:rPr>
          <w:rFonts w:ascii="Arial"/>
          <w:color w:val="FF0000"/>
          <w:sz w:val="2"/>
        </w:rPr>
        <w:cr/>
      </w:r>
    </w:p>
    <w:p>
      <w:pPr>
        <w:spacing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>
      <w:pPr>
        <w:spacing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pict>
          <v:shape id="_x0000_s1035" o:spid="_x0000_s1035" o:spt="75" type="#_x0000_t75" style="position:absolute;left:0pt;margin-left:0.2pt;margin-top:0.4pt;height:841.2pt;width:594.6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anchorlock/>
          </v:shape>
        </w:pict>
      </w:r>
      <w:r>
        <w:rPr>
          <w:rFonts w:ascii="Arial"/>
          <w:color w:val="FF0000"/>
          <w:sz w:val="2"/>
        </w:rPr>
        <w:cr/>
      </w:r>
    </w:p>
    <w:p>
      <w:pPr>
        <w:spacing w:line="0" w:lineRule="atLeast"/>
        <w:jc w:val="left"/>
        <w:rPr>
          <w:rFonts w:ascii="仿宋" w:hAnsi="仿宋" w:eastAsia="仿宋" w:cs="宋体"/>
          <w:bCs/>
          <w:kern w:val="0"/>
          <w:sz w:val="28"/>
          <w:szCs w:val="28"/>
        </w:rPr>
      </w:pPr>
    </w:p>
    <w:sectPr>
      <w:footerReference r:id="rId3" w:type="default"/>
      <w:pgSz w:w="11906" w:h="16838"/>
      <w:pgMar w:top="567" w:right="1474" w:bottom="567" w:left="1474" w:header="851" w:footer="992" w:gutter="0"/>
      <w:pgNumType w:fmt="numberInDash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Arial Unicode MS">
    <w:altName w:val="宋体"/>
    <w:panose1 w:val="020B0604020202020204"/>
    <w:charset w:val="86"/>
    <w:family w:val="auto"/>
    <w:pitch w:val="default"/>
    <w:sig w:usb0="00000000" w:usb1="00000000" w:usb2="0000003F" w:usb3="00000000" w:csb0="603F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-</w:t>
    </w:r>
    <w:r>
      <w:t xml:space="preserve"> 10 -</w:t>
    </w:r>
    <w:r>
      <w:fldChar w:fldCharType="end"/>
    </w:r>
  </w:p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docVars>
    <w:docVar w:name="commondata" w:val="eyJoZGlkIjoiMWFjMGQzNjk4ZWQxYjgxOThiOTg5NDc0NWM4NTQ4MzMifQ=="/>
  </w:docVars>
  <w:rsids>
    <w:rsidRoot w:val="006C24D6"/>
    <w:rsid w:val="000A2D9E"/>
    <w:rsid w:val="000C3BB4"/>
    <w:rsid w:val="00152942"/>
    <w:rsid w:val="00174840"/>
    <w:rsid w:val="00205B1E"/>
    <w:rsid w:val="00213319"/>
    <w:rsid w:val="00266A70"/>
    <w:rsid w:val="00281D25"/>
    <w:rsid w:val="002E3967"/>
    <w:rsid w:val="002F3DF4"/>
    <w:rsid w:val="003217CB"/>
    <w:rsid w:val="00355CB4"/>
    <w:rsid w:val="003729B7"/>
    <w:rsid w:val="003A15E5"/>
    <w:rsid w:val="003C0DE6"/>
    <w:rsid w:val="0041688A"/>
    <w:rsid w:val="00421A3C"/>
    <w:rsid w:val="004B0C76"/>
    <w:rsid w:val="00522D46"/>
    <w:rsid w:val="00526ECF"/>
    <w:rsid w:val="00546A4B"/>
    <w:rsid w:val="00546D59"/>
    <w:rsid w:val="005A4C03"/>
    <w:rsid w:val="005B2E05"/>
    <w:rsid w:val="005E5CC8"/>
    <w:rsid w:val="0067026B"/>
    <w:rsid w:val="00682F53"/>
    <w:rsid w:val="006C24D6"/>
    <w:rsid w:val="006E3A76"/>
    <w:rsid w:val="00717938"/>
    <w:rsid w:val="00723830"/>
    <w:rsid w:val="00777950"/>
    <w:rsid w:val="007A7BA8"/>
    <w:rsid w:val="007C19BA"/>
    <w:rsid w:val="00860DB2"/>
    <w:rsid w:val="008623CE"/>
    <w:rsid w:val="008B1677"/>
    <w:rsid w:val="008C24C9"/>
    <w:rsid w:val="008D13FA"/>
    <w:rsid w:val="008E77D8"/>
    <w:rsid w:val="00927949"/>
    <w:rsid w:val="0093125A"/>
    <w:rsid w:val="009623C1"/>
    <w:rsid w:val="00986ABD"/>
    <w:rsid w:val="009D2338"/>
    <w:rsid w:val="009D7629"/>
    <w:rsid w:val="00A01997"/>
    <w:rsid w:val="00A36C48"/>
    <w:rsid w:val="00A57FD2"/>
    <w:rsid w:val="00A91A72"/>
    <w:rsid w:val="00AF37EA"/>
    <w:rsid w:val="00B37A6C"/>
    <w:rsid w:val="00BA5376"/>
    <w:rsid w:val="00BA64EF"/>
    <w:rsid w:val="00C42684"/>
    <w:rsid w:val="00C451E3"/>
    <w:rsid w:val="00C45E2E"/>
    <w:rsid w:val="00C55048"/>
    <w:rsid w:val="00CB13F7"/>
    <w:rsid w:val="00CF563F"/>
    <w:rsid w:val="00D17777"/>
    <w:rsid w:val="00D35538"/>
    <w:rsid w:val="00D9290B"/>
    <w:rsid w:val="00D93783"/>
    <w:rsid w:val="00DA5981"/>
    <w:rsid w:val="00DF64F9"/>
    <w:rsid w:val="00E0220C"/>
    <w:rsid w:val="00E53550"/>
    <w:rsid w:val="00E87D86"/>
    <w:rsid w:val="00E936D1"/>
    <w:rsid w:val="00EC3DEF"/>
    <w:rsid w:val="00EE0A61"/>
    <w:rsid w:val="00F045F3"/>
    <w:rsid w:val="00F118CE"/>
    <w:rsid w:val="00FB4AD5"/>
    <w:rsid w:val="00FC0833"/>
    <w:rsid w:val="00FC1175"/>
    <w:rsid w:val="00FF263B"/>
    <w:rsid w:val="02EF1F55"/>
    <w:rsid w:val="05406416"/>
    <w:rsid w:val="060D70D0"/>
    <w:rsid w:val="06FE03B6"/>
    <w:rsid w:val="0C6530C4"/>
    <w:rsid w:val="103628FC"/>
    <w:rsid w:val="11467FE8"/>
    <w:rsid w:val="11E74C42"/>
    <w:rsid w:val="1247623C"/>
    <w:rsid w:val="125F2A1B"/>
    <w:rsid w:val="15505109"/>
    <w:rsid w:val="16F97B4E"/>
    <w:rsid w:val="1794007F"/>
    <w:rsid w:val="19C32D35"/>
    <w:rsid w:val="1B3B2AA4"/>
    <w:rsid w:val="1CCE1644"/>
    <w:rsid w:val="1D055F6B"/>
    <w:rsid w:val="1DB4117F"/>
    <w:rsid w:val="1E084AA8"/>
    <w:rsid w:val="1EFF4C3A"/>
    <w:rsid w:val="20731BF5"/>
    <w:rsid w:val="209D71A6"/>
    <w:rsid w:val="21511AB2"/>
    <w:rsid w:val="2260404D"/>
    <w:rsid w:val="242B5519"/>
    <w:rsid w:val="2871688F"/>
    <w:rsid w:val="2A92698C"/>
    <w:rsid w:val="2ABB428C"/>
    <w:rsid w:val="2B0D13F5"/>
    <w:rsid w:val="2B9C6E67"/>
    <w:rsid w:val="2BBC57FA"/>
    <w:rsid w:val="2FF768D7"/>
    <w:rsid w:val="329951BD"/>
    <w:rsid w:val="33ED5313"/>
    <w:rsid w:val="36466A95"/>
    <w:rsid w:val="3C1A617D"/>
    <w:rsid w:val="3C33153A"/>
    <w:rsid w:val="3C345A0D"/>
    <w:rsid w:val="3EDE283A"/>
    <w:rsid w:val="42764D74"/>
    <w:rsid w:val="46AA1733"/>
    <w:rsid w:val="47554CC2"/>
    <w:rsid w:val="4A362F9D"/>
    <w:rsid w:val="4AE911B1"/>
    <w:rsid w:val="4DD05640"/>
    <w:rsid w:val="4F5D44B8"/>
    <w:rsid w:val="505369AA"/>
    <w:rsid w:val="561641B4"/>
    <w:rsid w:val="5A601ECD"/>
    <w:rsid w:val="5AB23B37"/>
    <w:rsid w:val="5AEF33EA"/>
    <w:rsid w:val="5AF518B2"/>
    <w:rsid w:val="5B156B81"/>
    <w:rsid w:val="5CA17441"/>
    <w:rsid w:val="5EA47CFF"/>
    <w:rsid w:val="65113FEF"/>
    <w:rsid w:val="660D613A"/>
    <w:rsid w:val="68330547"/>
    <w:rsid w:val="6AA90C60"/>
    <w:rsid w:val="6CDC4415"/>
    <w:rsid w:val="6F5A4F12"/>
    <w:rsid w:val="71313A62"/>
    <w:rsid w:val="76271B25"/>
    <w:rsid w:val="76FE472E"/>
    <w:rsid w:val="77170C3A"/>
    <w:rsid w:val="789373F8"/>
    <w:rsid w:val="79FB4930"/>
    <w:rsid w:val="7DDB26C3"/>
    <w:rsid w:val="7F7F0D0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semiHidden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qFormat="1" w:unhideWhenUsed="0"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qFormat="1" w:unhideWhenUsed="0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locked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unhideWhenUsed/>
    <w:uiPriority w:val="1"/>
  </w:style>
  <w:style w:type="table" w:default="1" w:styleId="10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subject"/>
    <w:basedOn w:val="4"/>
    <w:next w:val="4"/>
    <w:link w:val="15"/>
    <w:semiHidden/>
    <w:qFormat/>
    <w:uiPriority w:val="99"/>
    <w:rPr>
      <w:b/>
      <w:bCs/>
    </w:rPr>
  </w:style>
  <w:style w:type="paragraph" w:styleId="4">
    <w:name w:val="annotation text"/>
    <w:basedOn w:val="1"/>
    <w:link w:val="14"/>
    <w:semiHidden/>
    <w:qFormat/>
    <w:uiPriority w:val="99"/>
    <w:pPr>
      <w:jc w:val="left"/>
    </w:pPr>
  </w:style>
  <w:style w:type="paragraph" w:styleId="5">
    <w:name w:val="Balloon Text"/>
    <w:basedOn w:val="1"/>
    <w:link w:val="16"/>
    <w:semiHidden/>
    <w:qFormat/>
    <w:uiPriority w:val="99"/>
    <w:rPr>
      <w:sz w:val="18"/>
      <w:szCs w:val="18"/>
    </w:rPr>
  </w:style>
  <w:style w:type="paragraph" w:styleId="6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annotation reference"/>
    <w:semiHidden/>
    <w:qFormat/>
    <w:uiPriority w:val="99"/>
    <w:rPr>
      <w:rFonts w:cs="Times New Roman"/>
      <w:sz w:val="21"/>
      <w:szCs w:val="21"/>
    </w:rPr>
  </w:style>
  <w:style w:type="table" w:styleId="11">
    <w:name w:val="Table Grid"/>
    <w:basedOn w:val="10"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页脚 Char"/>
    <w:link w:val="6"/>
    <w:qFormat/>
    <w:locked/>
    <w:uiPriority w:val="99"/>
    <w:rPr>
      <w:rFonts w:cs="Times New Roman"/>
      <w:sz w:val="18"/>
      <w:szCs w:val="18"/>
    </w:rPr>
  </w:style>
  <w:style w:type="character" w:customStyle="1" w:styleId="13">
    <w:name w:val="页眉 Char"/>
    <w:link w:val="7"/>
    <w:semiHidden/>
    <w:qFormat/>
    <w:locked/>
    <w:uiPriority w:val="99"/>
    <w:rPr>
      <w:rFonts w:cs="Times New Roman"/>
      <w:sz w:val="18"/>
      <w:szCs w:val="18"/>
    </w:rPr>
  </w:style>
  <w:style w:type="character" w:customStyle="1" w:styleId="14">
    <w:name w:val="批注文字 Char"/>
    <w:basedOn w:val="8"/>
    <w:link w:val="4"/>
    <w:semiHidden/>
    <w:qFormat/>
    <w:uiPriority w:val="99"/>
  </w:style>
  <w:style w:type="character" w:customStyle="1" w:styleId="15">
    <w:name w:val="批注主题 Char"/>
    <w:link w:val="3"/>
    <w:semiHidden/>
    <w:qFormat/>
    <w:uiPriority w:val="99"/>
    <w:rPr>
      <w:b/>
      <w:bCs/>
    </w:rPr>
  </w:style>
  <w:style w:type="character" w:customStyle="1" w:styleId="16">
    <w:name w:val="批注框文本 Char"/>
    <w:link w:val="5"/>
    <w:semiHidden/>
    <w:qFormat/>
    <w:uiPriority w:val="99"/>
    <w:rPr>
      <w:sz w:val="0"/>
      <w:szCs w:val="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1"/>
    <customShpInfo spid="_x0000_s1032"/>
    <customShpInfo spid="_x0000_s1033"/>
    <customShpInfo spid="_x0000_s1034"/>
    <customShpInfo spid="_x0000_s103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13</Pages>
  <Words>3463</Words>
  <Characters>3872</Characters>
  <Lines>30</Lines>
  <Paragraphs>8</Paragraphs>
  <TotalTime>13</TotalTime>
  <ScaleCrop>false</ScaleCrop>
  <LinksUpToDate>false</LinksUpToDate>
  <CharactersWithSpaces>3994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2017-11-23T18:38:00Z</dcterms:created>
  <dc:creator>CN=韩笑妍/OU=秦皇岛/OU=河北/O=chtc</dc:creator>
  <cp:lastModifiedBy>贾娜</cp:lastModifiedBy>
  <cp:lastPrinted>2023-06-19T06:46:00Z</cp:lastPrinted>
  <dcterms:modified xsi:type="dcterms:W3CDTF">2023-06-29T07:42:42Z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  <property fmtid="{D5CDD505-2E9C-101B-9397-08002B2CF9AE}" pid="3" name="ICV">
    <vt:lpwstr>28BCF65A883F4862A35819250D106453</vt:lpwstr>
  </property>
</Properties>
</file>